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8"/>
        <w:gridCol w:w="3443"/>
      </w:tblGrid>
      <w:tr w:rsidR="00610F52" w:rsidRPr="00610F52" w:rsidTr="003C7BC3">
        <w:tc>
          <w:tcPr>
            <w:tcW w:w="565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10F52" w:rsidRPr="00610F52" w:rsidRDefault="00610F52" w:rsidP="00610F5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10F52">
              <w:rPr>
                <w:rFonts w:ascii="Times New Roman" w:eastAsia="Times New Roman" w:hAnsi="Times New Roman" w:cs="Times New Roman"/>
                <w:b/>
                <w:lang w:eastAsia="hu-HU"/>
              </w:rPr>
              <w:t>Név: Dragony Gábor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10F52" w:rsidRPr="00610F52" w:rsidRDefault="00610F52" w:rsidP="00610F5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10F52">
              <w:rPr>
                <w:rFonts w:ascii="Times New Roman" w:eastAsia="Times New Roman" w:hAnsi="Times New Roman" w:cs="Times New Roman"/>
                <w:b/>
                <w:lang w:eastAsia="hu-HU"/>
              </w:rPr>
              <w:t>születési év: 1990</w:t>
            </w:r>
          </w:p>
        </w:tc>
      </w:tr>
      <w:tr w:rsidR="00610F52" w:rsidRPr="00610F52" w:rsidTr="003C7BC3">
        <w:tc>
          <w:tcPr>
            <w:tcW w:w="9101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10F52" w:rsidRPr="00610F52" w:rsidRDefault="00610F52" w:rsidP="00610F5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hu-HU"/>
              </w:rPr>
            </w:pPr>
            <w:r w:rsidRPr="00610F5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végzettség és szakképzettség</w:t>
            </w:r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, az oklevél kiállítója, éve</w:t>
            </w:r>
          </w:p>
        </w:tc>
      </w:tr>
      <w:tr w:rsidR="00610F52" w:rsidRPr="00610F52" w:rsidTr="00610F52">
        <w:tc>
          <w:tcPr>
            <w:tcW w:w="910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610F52" w:rsidRPr="00610F52" w:rsidRDefault="00610F52" w:rsidP="00610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Okleveles népzenetanár (népi pengetős: </w:t>
            </w: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citera-tambura-koboz-tekerő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), Liszt Ferenc Zeneművészeti Egyetem, 2015</w:t>
            </w:r>
            <w:r w:rsidR="00CB0773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  <w:p w:rsidR="00610F52" w:rsidRPr="00610F52" w:rsidRDefault="00610F52" w:rsidP="00610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Okleveles népzenetanár (népi vonós: </w:t>
            </w: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nagybőgő-cselló-ütőgardon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), Liszt Ferenc Zeneművészeti Egyetem, 2016</w:t>
            </w:r>
            <w:r w:rsidR="00CB0773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</w:tr>
      <w:tr w:rsidR="00610F52" w:rsidRPr="00610F52" w:rsidTr="003C7BC3">
        <w:tc>
          <w:tcPr>
            <w:tcW w:w="9101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10F52" w:rsidRPr="00610F52" w:rsidRDefault="00610F52" w:rsidP="00CB077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Jelenlegi </w:t>
            </w:r>
            <w:r w:rsidR="00CB0773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munkahely</w:t>
            </w:r>
            <w:r w:rsidRPr="00610F5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,</w:t>
            </w:r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 a kinevezésben feltüntetett munkakör</w:t>
            </w:r>
            <w:r w:rsidRPr="00610F5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</w:p>
        </w:tc>
      </w:tr>
      <w:tr w:rsidR="00610F52" w:rsidRPr="00610F52" w:rsidTr="00610F52">
        <w:trPr>
          <w:trHeight w:val="236"/>
        </w:trPr>
        <w:tc>
          <w:tcPr>
            <w:tcW w:w="910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610F52" w:rsidRPr="00610F52" w:rsidRDefault="00610F52" w:rsidP="00610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Nyíregyházi Egyetem Zenei Intézet, tanársegéd</w:t>
            </w:r>
          </w:p>
          <w:p w:rsidR="00610F52" w:rsidRPr="00610F52" w:rsidRDefault="00610F52" w:rsidP="00610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Nyíregyházi Művészeti Szakgimnázium, népzenetanár</w:t>
            </w:r>
          </w:p>
        </w:tc>
      </w:tr>
      <w:tr w:rsidR="00610F52" w:rsidRPr="00610F52" w:rsidTr="003C7BC3">
        <w:tc>
          <w:tcPr>
            <w:tcW w:w="9101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10F52" w:rsidRPr="00610F52" w:rsidRDefault="00610F52" w:rsidP="00610F5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610F5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tudományos fokozat</w:t>
            </w:r>
            <w:r w:rsidRPr="00610F5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 xml:space="preserve"> </w:t>
            </w:r>
          </w:p>
          <w:p w:rsidR="00610F52" w:rsidRPr="00610F52" w:rsidRDefault="00610F52" w:rsidP="00CB077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0F5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tudományos/művészeti akadémiai cím/tagság</w:t>
            </w:r>
          </w:p>
        </w:tc>
      </w:tr>
      <w:tr w:rsidR="00610F52" w:rsidRPr="00610F52" w:rsidTr="00610F52">
        <w:tc>
          <w:tcPr>
            <w:tcW w:w="910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610F52" w:rsidRPr="00610F52" w:rsidRDefault="00610F52" w:rsidP="00610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PhD-hallgató – Debreceni Egyetem, HTDI, Neveléstudományi Doktori Program, 2016</w:t>
            </w:r>
            <w:bookmarkStart w:id="0" w:name="_GoBack"/>
            <w:bookmarkEnd w:id="0"/>
          </w:p>
        </w:tc>
      </w:tr>
      <w:tr w:rsidR="00610F52" w:rsidRPr="00610F52" w:rsidTr="003C7BC3">
        <w:tc>
          <w:tcPr>
            <w:tcW w:w="9101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10F52" w:rsidRPr="00610F52" w:rsidRDefault="00610F52" w:rsidP="00CB077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0F5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eddigi oktatói tevékenység</w:t>
            </w:r>
          </w:p>
        </w:tc>
      </w:tr>
      <w:tr w:rsidR="00610F52" w:rsidRPr="00610F52" w:rsidTr="00610F52">
        <w:tc>
          <w:tcPr>
            <w:tcW w:w="910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610F52" w:rsidRPr="00610F52" w:rsidRDefault="00610F52" w:rsidP="00CB0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10F5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Oktatott tárgyak</w:t>
            </w:r>
            <w:r w:rsidRPr="00610F52">
              <w:rPr>
                <w:rFonts w:ascii="Times New Roman" w:eastAsia="Times New Roman" w:hAnsi="Times New Roman" w:cs="Times New Roman"/>
                <w:b/>
                <w:lang w:eastAsia="hu-HU"/>
              </w:rPr>
              <w:t>:</w:t>
            </w:r>
          </w:p>
          <w:p w:rsidR="00610F52" w:rsidRPr="00610F52" w:rsidRDefault="00610F52" w:rsidP="00610F5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Népi hangszer 1–7.</w:t>
            </w:r>
          </w:p>
          <w:p w:rsidR="00610F52" w:rsidRPr="00610F52" w:rsidRDefault="00610F52" w:rsidP="00610F5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Népzene-néphagyomány elmélet</w:t>
            </w:r>
          </w:p>
          <w:p w:rsidR="00610F52" w:rsidRPr="00610F52" w:rsidRDefault="00610F52" w:rsidP="00610F5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Népzene-néphagyomány gyakorlat</w:t>
            </w:r>
          </w:p>
          <w:p w:rsidR="00610F52" w:rsidRPr="00610F52" w:rsidRDefault="00610F52" w:rsidP="00610F5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Népi kamarazene 1–4.</w:t>
            </w:r>
          </w:p>
          <w:p w:rsidR="00610F52" w:rsidRPr="00610F52" w:rsidRDefault="00610F52" w:rsidP="00610F5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Magyar népzene</w:t>
            </w:r>
          </w:p>
          <w:p w:rsidR="00610F52" w:rsidRPr="00610F52" w:rsidRDefault="00610F52" w:rsidP="00610F5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Szakmódszertan 1–2.</w:t>
            </w:r>
          </w:p>
          <w:p w:rsidR="00610F52" w:rsidRPr="00610F52" w:rsidRDefault="00610F52" w:rsidP="00610F5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Szakdolgozati témavezetés</w:t>
            </w:r>
          </w:p>
          <w:p w:rsidR="00610F52" w:rsidRPr="00610F52" w:rsidRDefault="00610F52" w:rsidP="00610F5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0F5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Felsőoktatásban eltöltött idő</w:t>
            </w:r>
            <w:r w:rsidRPr="00610F52">
              <w:rPr>
                <w:rFonts w:ascii="Times New Roman" w:eastAsia="Times New Roman" w:hAnsi="Times New Roman" w:cs="Times New Roman"/>
                <w:b/>
                <w:lang w:eastAsia="hu-HU"/>
              </w:rPr>
              <w:t>:</w:t>
            </w:r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 5 év</w:t>
            </w:r>
          </w:p>
          <w:p w:rsidR="00610F52" w:rsidRPr="00610F52" w:rsidRDefault="00610F52" w:rsidP="00610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0F5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Közoktatásban eltöltött idő:</w:t>
            </w:r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 8 év</w:t>
            </w:r>
          </w:p>
        </w:tc>
      </w:tr>
      <w:tr w:rsidR="00610F52" w:rsidRPr="00610F52" w:rsidTr="003C7BC3">
        <w:tc>
          <w:tcPr>
            <w:tcW w:w="9101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10F52" w:rsidRPr="00610F52" w:rsidRDefault="00610F52" w:rsidP="00CB077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610F5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eddigi szakmai gyakorlat és eredményei</w:t>
            </w:r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</w:tr>
      <w:tr w:rsidR="00610F52" w:rsidRPr="00610F52" w:rsidTr="00610F52">
        <w:tc>
          <w:tcPr>
            <w:tcW w:w="910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610F52" w:rsidRPr="00610F52" w:rsidRDefault="00610F52" w:rsidP="00CB0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2 év oktatói tapasztalat művésztanári munkakörben</w:t>
            </w:r>
          </w:p>
          <w:p w:rsidR="00610F52" w:rsidRPr="00610F52" w:rsidRDefault="00610F52" w:rsidP="00610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3 év oktatói tapasztalat tanársegédi munkakörben</w:t>
            </w:r>
          </w:p>
        </w:tc>
      </w:tr>
      <w:tr w:rsidR="00610F52" w:rsidRPr="00610F52" w:rsidTr="003C7BC3">
        <w:tc>
          <w:tcPr>
            <w:tcW w:w="9101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B0773" w:rsidRPr="009F4452" w:rsidRDefault="00CB0773" w:rsidP="00CB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oktatott tárgy/tárgyak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és az </w:t>
            </w:r>
            <w:r w:rsidRPr="009F445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oktató szakmai/kutatási tevékenysége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kapcsolatának bemutatása:</w:t>
            </w:r>
          </w:p>
          <w:p w:rsidR="00CB0773" w:rsidRPr="009F4452" w:rsidRDefault="00CB0773" w:rsidP="00CB0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a) 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az </w:t>
            </w:r>
            <w:r w:rsidRPr="009F4452">
              <w:rPr>
                <w:rFonts w:ascii="Times New Roman" w:eastAsia="Times New Roman" w:hAnsi="Times New Roman" w:cs="Times New Roman"/>
                <w:i/>
                <w:lang w:eastAsia="hu-HU"/>
              </w:rPr>
              <w:t>elmúlt 5 év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szakmai, tudományos (művészeti) munkássága a </w:t>
            </w:r>
            <w:r w:rsidRPr="009F4452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szakterületen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610F52" w:rsidRPr="00610F52" w:rsidRDefault="00CB0773" w:rsidP="00CB0773">
            <w:pPr>
              <w:spacing w:after="0" w:line="240" w:lineRule="auto"/>
              <w:ind w:left="289" w:hanging="289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i/>
                <w:lang w:eastAsia="hu-HU"/>
              </w:rPr>
              <w:t>b)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az </w:t>
            </w:r>
            <w:r w:rsidRPr="009F4452">
              <w:rPr>
                <w:rFonts w:ascii="Times New Roman" w:eastAsia="Times New Roman" w:hAnsi="Times New Roman" w:cs="Times New Roman"/>
                <w:i/>
                <w:lang w:eastAsia="hu-HU"/>
              </w:rPr>
              <w:t>eddigi tudományos-szakmai életmű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szempontjából legfontosabb,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i/>
                <w:lang w:eastAsia="hu-HU"/>
              </w:rPr>
              <w:t>max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i/>
                <w:lang w:eastAsia="hu-HU"/>
              </w:rPr>
              <w:t>. 5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publikáció vagy alkotás felsorolása</w:t>
            </w:r>
          </w:p>
        </w:tc>
      </w:tr>
      <w:tr w:rsidR="00CB0773" w:rsidRPr="00610F52" w:rsidTr="00CB0773">
        <w:tc>
          <w:tcPr>
            <w:tcW w:w="9101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B0773" w:rsidRPr="00610F52" w:rsidRDefault="00CB0773" w:rsidP="00CB0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0F52">
              <w:rPr>
                <w:rFonts w:ascii="Times New Roman" w:eastAsia="Times New Roman" w:hAnsi="Times New Roman" w:cs="Times New Roman"/>
                <w:i/>
                <w:lang w:eastAsia="hu-HU"/>
              </w:rPr>
              <w:t>a)</w:t>
            </w:r>
          </w:p>
          <w:p w:rsidR="00CB0773" w:rsidRPr="00610F52" w:rsidRDefault="00CB0773" w:rsidP="00CB07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Dragony Gábor (2018): </w:t>
            </w: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Extrakurrikuláris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 lehetőségek a népzeneoktatásban. </w:t>
            </w: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In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 Új kutatások a neveléstudományban 2017 (szerk. Kerülő J. és Jenei T.), Debrecen: Kreatív </w:t>
            </w: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Help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 Bt., 113-121.</w:t>
            </w:r>
          </w:p>
          <w:p w:rsidR="00CB0773" w:rsidRPr="00610F52" w:rsidRDefault="00CB0773" w:rsidP="00CB07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Judit Váradi, Gábor Dragony (2019): The </w:t>
            </w: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Role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 of </w:t>
            </w: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Church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Schools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in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 Music Education. </w:t>
            </w: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In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Studia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Univesitatis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Babes-Bolyai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Musica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 1/2019 </w:t>
            </w: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vol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. 64. (editor: </w:t>
            </w: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Gabriela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 Coca), </w:t>
            </w: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Cluj-Napoca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 (Románia): </w:t>
            </w: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Studia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 UBB </w:t>
            </w: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Musica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, 9-28. (ISSN: 1844-4369)</w:t>
            </w:r>
          </w:p>
          <w:p w:rsidR="00CB0773" w:rsidRPr="00610F52" w:rsidRDefault="00CB0773" w:rsidP="00CB07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Ildiko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Sandor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 (2006): </w:t>
            </w: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Grass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can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grow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on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concrete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as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well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 – </w:t>
            </w: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Studies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 of </w:t>
            </w: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the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Dance-house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movement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. [A betonon is </w:t>
            </w: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kino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 a </w:t>
            </w: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fu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 - </w:t>
            </w: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Tanulmanyok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 a </w:t>
            </w: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tanchazmozgalomrol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]. Budapest: House of </w:t>
            </w: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Traditions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 [</w:t>
            </w: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Hagyomanyok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 Haza]. </w:t>
            </w: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Reviewed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by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Gabor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 Dragony, </w:t>
            </w: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Hungarian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 Education Research Journal </w:t>
            </w: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Vol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. 7 (2017) No. 4</w:t>
            </w:r>
          </w:p>
          <w:p w:rsidR="00CB0773" w:rsidRPr="00610F52" w:rsidRDefault="00CB0773" w:rsidP="00CB07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Dragony Gábor (2016) Takács Józsefné Tatár Kiss Erzsébet citerás adatközlő játékstílusa. </w:t>
            </w: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Parlando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 2016/3.</w:t>
            </w:r>
          </w:p>
          <w:p w:rsidR="00CB0773" w:rsidRDefault="00CB0773" w:rsidP="00CB07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Váradi Judit, Dragony Gábor, Az egyházi iskolák szerepe a zenei nevelésben </w:t>
            </w: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In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: [s </w:t>
            </w:r>
            <w:proofErr w:type="gram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n ]</w:t>
            </w:r>
            <w:proofErr w:type="gram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 (szerk.) Innováció, kutatás, pedagógusok. </w:t>
            </w: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HuCER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 2017: Absztrakt kötet. 252 p. </w:t>
            </w: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Hungarian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Educational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 Research </w:t>
            </w: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Association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 (HERA), 2017. p. 231. 1 p. (ISBN:978-615-5657-02-3)</w:t>
            </w:r>
          </w:p>
          <w:p w:rsidR="00CB0773" w:rsidRPr="00CB0773" w:rsidRDefault="00CB0773" w:rsidP="00CB077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CB0773" w:rsidRPr="00610F52" w:rsidRDefault="00CB0773" w:rsidP="00CB0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b)</w:t>
            </w:r>
          </w:p>
          <w:p w:rsidR="00CB0773" w:rsidRPr="00610F52" w:rsidRDefault="00CB0773" w:rsidP="00CB077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Szlama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 Band: Városi és falusi muzsika Moldvából. </w:t>
            </w: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Dialekton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 Népzenei Kiadó, Budapest, 2014 – harmonika</w:t>
            </w:r>
          </w:p>
          <w:p w:rsidR="00CB0773" w:rsidRPr="00610F52" w:rsidRDefault="00CB0773" w:rsidP="00CB077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Parapács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Bëbocsátlak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. Fonó Budai Zeneház, Budapest, 2014 – brácsa, citera </w:t>
            </w:r>
          </w:p>
          <w:p w:rsidR="00CB0773" w:rsidRDefault="00CB0773" w:rsidP="00CB077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Táncház – népzene 2013. Hagyományok Háza, Budapest, 2013 – brácsa</w:t>
            </w:r>
          </w:p>
          <w:p w:rsidR="00CB0773" w:rsidRPr="00CB0773" w:rsidRDefault="00CB0773" w:rsidP="00CB077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B0773">
              <w:rPr>
                <w:rFonts w:ascii="Times New Roman" w:eastAsia="Times New Roman" w:hAnsi="Times New Roman" w:cs="Times New Roman"/>
                <w:lang w:eastAsia="hu-HU"/>
              </w:rPr>
              <w:t>Táncház – népzene 2012. Hagyományok Háza, Budapest, 2012 – nagybőgő</w:t>
            </w:r>
          </w:p>
        </w:tc>
      </w:tr>
      <w:tr w:rsidR="00610F52" w:rsidRPr="00610F52" w:rsidTr="003C7BC3">
        <w:tc>
          <w:tcPr>
            <w:tcW w:w="9101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10F52" w:rsidRPr="00610F52" w:rsidRDefault="00610F52" w:rsidP="00610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tudományos / szakmai közéleti tevékenység, nemzetközi szakmai kapcsolatok, elismerések</w:t>
            </w:r>
          </w:p>
        </w:tc>
      </w:tr>
      <w:tr w:rsidR="00610F52" w:rsidRPr="00610F52" w:rsidTr="00610F52">
        <w:tc>
          <w:tcPr>
            <w:tcW w:w="9101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610F52" w:rsidRPr="00610F52" w:rsidRDefault="00610F52" w:rsidP="00610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A „Népművészet Ifjú Mestere” állami kitüntetés, 2015</w:t>
            </w:r>
          </w:p>
          <w:p w:rsidR="00610F52" w:rsidRPr="00610F52" w:rsidRDefault="00610F52" w:rsidP="00610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Junior </w:t>
            </w:r>
            <w:proofErr w:type="spellStart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>Prima</w:t>
            </w:r>
            <w:proofErr w:type="spellEnd"/>
            <w:r w:rsidRPr="00610F52">
              <w:rPr>
                <w:rFonts w:ascii="Times New Roman" w:eastAsia="Times New Roman" w:hAnsi="Times New Roman" w:cs="Times New Roman"/>
                <w:lang w:eastAsia="hu-HU"/>
              </w:rPr>
              <w:t xml:space="preserve"> díj (Népművészet és közművelődés kategóriában) 2012</w:t>
            </w:r>
          </w:p>
        </w:tc>
      </w:tr>
    </w:tbl>
    <w:p w:rsidR="007A62A9" w:rsidRDefault="007A62A9"/>
    <w:sectPr w:rsidR="007A6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16E01"/>
    <w:multiLevelType w:val="hybridMultilevel"/>
    <w:tmpl w:val="BE6A9EC2"/>
    <w:lvl w:ilvl="0" w:tplc="069603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D33F0"/>
    <w:multiLevelType w:val="hybridMultilevel"/>
    <w:tmpl w:val="423207BA"/>
    <w:lvl w:ilvl="0" w:tplc="069603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52"/>
    <w:rsid w:val="00610F52"/>
    <w:rsid w:val="007A62A9"/>
    <w:rsid w:val="00CB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FDD59-DEE9-43A8-9A32-64744F2F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2020-10-14T07:01:00Z</dcterms:created>
  <dcterms:modified xsi:type="dcterms:W3CDTF">2020-10-14T07:37:00Z</dcterms:modified>
</cp:coreProperties>
</file>